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rtl w:val="0"/>
        </w:rPr>
        <w:t xml:space="preserve">Digital for Business Programme</w:t>
      </w:r>
      <w:r w:rsidDel="00000000" w:rsidR="00000000" w:rsidRPr="00000000">
        <w:rPr>
          <w:rtl w:val="0"/>
        </w:rPr>
        <w:t xml:space="preserve"> and the </w:t>
      </w:r>
      <w:r w:rsidDel="00000000" w:rsidR="00000000" w:rsidRPr="00000000">
        <w:rPr>
          <w:b w:val="1"/>
          <w:rtl w:val="0"/>
        </w:rPr>
        <w:t xml:space="preserve">Grow Digital Grant</w:t>
      </w:r>
      <w:r w:rsidDel="00000000" w:rsidR="00000000" w:rsidRPr="00000000">
        <w:rPr>
          <w:rtl w:val="0"/>
        </w:rPr>
        <w:t xml:space="preserve"> appear to be positioned as a broader replacement for the </w:t>
      </w:r>
      <w:r w:rsidDel="00000000" w:rsidR="00000000" w:rsidRPr="00000000">
        <w:rPr>
          <w:b w:val="1"/>
          <w:rtl w:val="0"/>
        </w:rPr>
        <w:t xml:space="preserve">Trading Online Voucher (TOV)</w:t>
      </w:r>
      <w:r w:rsidDel="00000000" w:rsidR="00000000" w:rsidRPr="00000000">
        <w:rPr>
          <w:rtl w:val="0"/>
        </w:rPr>
        <w:t xml:space="preserve">, but they serve slightly different purposes and target a wider range of business needs. Here is a detailed breakdown of the differences and similarities: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9urzictmz3qo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Key Similarities: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Purpose:</w:t>
      </w:r>
      <w:r w:rsidDel="00000000" w:rsidR="00000000" w:rsidRPr="00000000">
        <w:rPr>
          <w:rtl w:val="0"/>
        </w:rPr>
        <w:t xml:space="preserve"> Both initiatives aim to support small businesses in improving their digital capabilities and enhancing their competitiveness in an increasingly digital marketplace.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Financial Support:</w:t>
      </w:r>
      <w:r w:rsidDel="00000000" w:rsidR="00000000" w:rsidRPr="00000000">
        <w:rPr>
          <w:rtl w:val="0"/>
        </w:rPr>
        <w:t xml:space="preserve"> Both grants provide financial aid to businesses, covering 50% of eligible costs.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Eligibility:</w:t>
      </w:r>
      <w:r w:rsidDel="00000000" w:rsidR="00000000" w:rsidRPr="00000000">
        <w:rPr>
          <w:rtl w:val="0"/>
        </w:rPr>
        <w:t xml:space="preserve"> Both programmes focus on smaller businesses that are not already significant clients of agencies like Enterprise Ireland or IDA.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5bndx97nymwb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Key Differences: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Scope of Support:</w:t>
      </w:r>
    </w:p>
    <w:p w:rsidR="00000000" w:rsidDel="00000000" w:rsidP="00000000" w:rsidRDefault="00000000" w:rsidRPr="00000000" w14:paraId="0000000A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TOV:</w:t>
      </w:r>
      <w:r w:rsidDel="00000000" w:rsidR="00000000" w:rsidRPr="00000000">
        <w:rPr>
          <w:rtl w:val="0"/>
        </w:rPr>
        <w:t xml:space="preserve"> Focuses primarily on helping businesses establish or enhance their e-commerce presence (e.g., websites, online payment systems).</w:t>
      </w:r>
    </w:p>
    <w:p w:rsidR="00000000" w:rsidDel="00000000" w:rsidP="00000000" w:rsidRDefault="00000000" w:rsidRPr="00000000" w14:paraId="0000000B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Grow Digital Grant:</w:t>
      </w:r>
      <w:r w:rsidDel="00000000" w:rsidR="00000000" w:rsidRPr="00000000">
        <w:rPr>
          <w:rtl w:val="0"/>
        </w:rPr>
        <w:t xml:space="preserve"> Offers a much wider scope, including digital marketing, customer relationship management (CRM) systems, process automation, and other digital tools beyond just online trading.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Funding Amount:</w:t>
      </w:r>
    </w:p>
    <w:p w:rsidR="00000000" w:rsidDel="00000000" w:rsidP="00000000" w:rsidRDefault="00000000" w:rsidRPr="00000000" w14:paraId="0000000D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TOV:</w:t>
      </w:r>
      <w:r w:rsidDel="00000000" w:rsidR="00000000" w:rsidRPr="00000000">
        <w:rPr>
          <w:rtl w:val="0"/>
        </w:rPr>
        <w:t xml:space="preserve"> Provides up to €2,500.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Grow Digital Grant:</w:t>
      </w:r>
      <w:r w:rsidDel="00000000" w:rsidR="00000000" w:rsidRPr="00000000">
        <w:rPr>
          <w:rtl w:val="0"/>
        </w:rPr>
        <w:t xml:space="preserve"> Offers a more generous maximum grant of €5,000.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Eligibility Criteria:</w:t>
      </w:r>
    </w:p>
    <w:p w:rsidR="00000000" w:rsidDel="00000000" w:rsidP="00000000" w:rsidRDefault="00000000" w:rsidRPr="00000000" w14:paraId="00000010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TOV:</w:t>
      </w:r>
      <w:r w:rsidDel="00000000" w:rsidR="00000000" w:rsidRPr="00000000">
        <w:rPr>
          <w:rtl w:val="0"/>
        </w:rPr>
        <w:t xml:space="preserve"> Targets micro-businesses (fewer than 10 employees, turnover below €2 million).</w:t>
      </w:r>
    </w:p>
    <w:p w:rsidR="00000000" w:rsidDel="00000000" w:rsidP="00000000" w:rsidRDefault="00000000" w:rsidRPr="00000000" w14:paraId="00000011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Grow Digital Grant:</w:t>
      </w:r>
      <w:r w:rsidDel="00000000" w:rsidR="00000000" w:rsidRPr="00000000">
        <w:rPr>
          <w:rtl w:val="0"/>
        </w:rPr>
        <w:t xml:space="preserve"> Open to small businesses (up to 50 employees), allowing slightly larger enterprises to benefit.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Pre-requisites:</w:t>
      </w:r>
    </w:p>
    <w:p w:rsidR="00000000" w:rsidDel="00000000" w:rsidP="00000000" w:rsidRDefault="00000000" w:rsidRPr="00000000" w14:paraId="00000013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TOV:</w:t>
      </w:r>
      <w:r w:rsidDel="00000000" w:rsidR="00000000" w:rsidRPr="00000000">
        <w:rPr>
          <w:rtl w:val="0"/>
        </w:rPr>
        <w:t xml:space="preserve"> Applicants are required to attend an information session before applying.</w:t>
      </w:r>
    </w:p>
    <w:p w:rsidR="00000000" w:rsidDel="00000000" w:rsidP="00000000" w:rsidRDefault="00000000" w:rsidRPr="00000000" w14:paraId="00000014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Grow Digital Grant:</w:t>
      </w:r>
      <w:r w:rsidDel="00000000" w:rsidR="00000000" w:rsidRPr="00000000">
        <w:rPr>
          <w:rtl w:val="0"/>
        </w:rPr>
        <w:t xml:space="preserve"> Businesses must have completed a "Digital for Business Project" within the past two years, indicating a need for a more strategic approach.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Application Deadline:</w:t>
      </w:r>
    </w:p>
    <w:p w:rsidR="00000000" w:rsidDel="00000000" w:rsidP="00000000" w:rsidRDefault="00000000" w:rsidRPr="00000000" w14:paraId="00000016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TOV:</w:t>
      </w:r>
      <w:r w:rsidDel="00000000" w:rsidR="00000000" w:rsidRPr="00000000">
        <w:rPr>
          <w:rtl w:val="0"/>
        </w:rPr>
        <w:t xml:space="preserve"> The final application deadline is 5 pm on 13th December 2024.</w:t>
      </w:r>
    </w:p>
    <w:p w:rsidR="00000000" w:rsidDel="00000000" w:rsidP="00000000" w:rsidRDefault="00000000" w:rsidRPr="00000000" w14:paraId="00000017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Grow Digital Grant:</w:t>
      </w:r>
      <w:r w:rsidDel="00000000" w:rsidR="00000000" w:rsidRPr="00000000">
        <w:rPr>
          <w:rtl w:val="0"/>
        </w:rPr>
        <w:t xml:space="preserve"> Has ongoing availability but is subject to specific project-based eligibility.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ne1ndukuyggx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Why the Shift?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rtl w:val="0"/>
        </w:rPr>
        <w:t xml:space="preserve">Digital for Business Programme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rtl w:val="0"/>
        </w:rPr>
        <w:t xml:space="preserve">Grow Digital Grant</w:t>
      </w:r>
      <w:r w:rsidDel="00000000" w:rsidR="00000000" w:rsidRPr="00000000">
        <w:rPr>
          <w:rtl w:val="0"/>
        </w:rPr>
        <w:t xml:space="preserve"> represent an evolution in how digitalisation support is provided. Rather than focusing narrowly on e-commerce, these new schemes align with broader trends in digital transformation, helping businesses adopt more sophisticated tools and systems.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z7ik9ygjxb1v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Implications for Your Agency and Clients: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For Your Agency:</w:t>
      </w:r>
    </w:p>
    <w:p w:rsidR="00000000" w:rsidDel="00000000" w:rsidP="00000000" w:rsidRDefault="00000000" w:rsidRPr="00000000" w14:paraId="0000001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You can support clients transitioning from TOV to the new programme by offering consultancy for Digital for Business Projects and implementing broader digital solutions.</w:t>
      </w:r>
    </w:p>
    <w:p w:rsidR="00000000" w:rsidDel="00000000" w:rsidP="00000000" w:rsidRDefault="00000000" w:rsidRPr="00000000" w14:paraId="0000001F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As a service provider, you may also benefit from the Grow Digital Grant to enhance your own operations.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For Your Clients:</w:t>
      </w:r>
    </w:p>
    <w:p w:rsidR="00000000" w:rsidDel="00000000" w:rsidP="00000000" w:rsidRDefault="00000000" w:rsidRPr="00000000" w14:paraId="00000021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Existing clients who relied on TOV should be made aware of the closure and the new opportunities presented by the Grow Digital Grant.</w:t>
      </w:r>
    </w:p>
    <w:p w:rsidR="00000000" w:rsidDel="00000000" w:rsidP="00000000" w:rsidRDefault="00000000" w:rsidRPr="00000000" w14:paraId="00000022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You can help clients prepare their Digital for Business Project and align their goals with the grant's criteria.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y3kkoivuuyke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Next Steps: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Communicate with Clients:</w:t>
      </w:r>
      <w:r w:rsidDel="00000000" w:rsidR="00000000" w:rsidRPr="00000000">
        <w:rPr>
          <w:rtl w:val="0"/>
        </w:rPr>
        <w:t xml:space="preserve"> Inform them about the TOV deadline and the availability of the Grow Digital Grant. Position your agency as a partner to guide them through the process.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Engage with LEO Advisors:</w:t>
      </w:r>
      <w:r w:rsidDel="00000000" w:rsidR="00000000" w:rsidRPr="00000000">
        <w:rPr>
          <w:rtl w:val="0"/>
        </w:rPr>
        <w:t xml:space="preserve"> Arrange a meeting to clarify eligibility, application requirements, and the scope of support for the Grow Digital Grant.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Strategic Planning:</w:t>
      </w:r>
      <w:r w:rsidDel="00000000" w:rsidR="00000000" w:rsidRPr="00000000">
        <w:rPr>
          <w:rtl w:val="0"/>
        </w:rPr>
        <w:t xml:space="preserve"> Develop service packages or consultancy offerings tailored to align with the new grant’s broader digitalisation focus.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shift from the Trading Online Voucher to the Grow Digital Grant provides an excellent opportunity to expand your service offerings and support clients in embracing comprehensive digital strategies.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